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7A4" w:rsidRPr="00337463" w:rsidRDefault="007367A4" w:rsidP="007367A4">
      <w:pPr>
        <w:pStyle w:val="Podrispodpis"/>
        <w:spacing w:before="360" w:after="120" w:line="210" w:lineRule="exact"/>
        <w:rPr>
          <w:color w:val="auto"/>
        </w:rPr>
      </w:pPr>
      <w:r>
        <w:rPr>
          <w:color w:val="auto"/>
        </w:rPr>
        <w:t>СПИСОК ПРИЛОЖЕНИЙ К РАЗДЕЛАМ МЕТОДИЧЕСКОГО РУКОВОДСТВА</w:t>
      </w:r>
      <w:r w:rsidRPr="00337463">
        <w:rPr>
          <w:rStyle w:val="a3"/>
          <w:color w:val="auto"/>
        </w:rPr>
        <w:footnoteReference w:customMarkFollows="1" w:id="1"/>
        <w:t>*</w:t>
      </w:r>
    </w:p>
    <w:p w:rsidR="007367A4" w:rsidRPr="00337463" w:rsidRDefault="007367A4" w:rsidP="007367A4">
      <w:pPr>
        <w:pStyle w:val="Oglavlenie01uroven"/>
        <w:spacing w:before="40" w:line="210" w:lineRule="exact"/>
        <w:rPr>
          <w:color w:val="auto"/>
        </w:rPr>
      </w:pPr>
      <w:r w:rsidRPr="00337463">
        <w:rPr>
          <w:color w:val="auto"/>
        </w:rPr>
        <w:t>1.1. Символы семейств вулканических и субвулканических пород</w:t>
      </w:r>
    </w:p>
    <w:p w:rsidR="007367A4" w:rsidRPr="00337463" w:rsidRDefault="007367A4" w:rsidP="007367A4">
      <w:pPr>
        <w:pStyle w:val="Oglavlenie01uroven"/>
        <w:spacing w:before="40" w:line="210" w:lineRule="exact"/>
        <w:rPr>
          <w:color w:val="auto"/>
        </w:rPr>
      </w:pPr>
      <w:r w:rsidRPr="00337463">
        <w:rPr>
          <w:color w:val="auto"/>
        </w:rPr>
        <w:t>1.2. Символы семейства интрузивных (плутонических) пород</w:t>
      </w:r>
    </w:p>
    <w:p w:rsidR="007367A4" w:rsidRPr="00C52CA0" w:rsidRDefault="007367A4" w:rsidP="007367A4">
      <w:pPr>
        <w:pStyle w:val="Oglavlenie01uroven"/>
        <w:spacing w:before="40" w:line="210" w:lineRule="exact"/>
      </w:pPr>
      <w:r w:rsidRPr="00337463">
        <w:rPr>
          <w:color w:val="auto"/>
        </w:rPr>
        <w:t>1.3. Сим</w:t>
      </w:r>
      <w:r w:rsidRPr="00C52CA0">
        <w:t>волы миг</w:t>
      </w:r>
      <w:r>
        <w:t>матитов</w:t>
      </w:r>
    </w:p>
    <w:p w:rsidR="007367A4" w:rsidRPr="00C52CA0" w:rsidRDefault="007367A4" w:rsidP="007367A4">
      <w:pPr>
        <w:pStyle w:val="Oglavlenie01uroven"/>
        <w:spacing w:before="40" w:line="210" w:lineRule="exact"/>
      </w:pPr>
      <w:r w:rsidRPr="00C52CA0">
        <w:t>1.4. Символы п</w:t>
      </w:r>
      <w:r>
        <w:t>ород контактового метаморфизма</w:t>
      </w:r>
    </w:p>
    <w:p w:rsidR="007367A4" w:rsidRPr="00C52CA0" w:rsidRDefault="007367A4" w:rsidP="007367A4">
      <w:pPr>
        <w:pStyle w:val="Oglavlenie01uroven"/>
        <w:spacing w:before="40" w:line="210" w:lineRule="exact"/>
      </w:pPr>
      <w:r w:rsidRPr="00C52CA0">
        <w:t>1</w:t>
      </w:r>
      <w:r>
        <w:t>.5. Символы диафторитов</w:t>
      </w:r>
    </w:p>
    <w:p w:rsidR="007367A4" w:rsidRPr="00C52CA0" w:rsidRDefault="007367A4" w:rsidP="007367A4">
      <w:pPr>
        <w:pStyle w:val="Oglavlenie01uroven"/>
        <w:spacing w:before="40" w:line="210" w:lineRule="exact"/>
      </w:pPr>
      <w:r w:rsidRPr="00C52CA0">
        <w:t>1</w:t>
      </w:r>
      <w:r>
        <w:t>.6. Символы метасоматитов</w:t>
      </w:r>
    </w:p>
    <w:p w:rsidR="007367A4" w:rsidRPr="00C52CA0" w:rsidRDefault="007367A4" w:rsidP="007367A4">
      <w:pPr>
        <w:pStyle w:val="Oglavlenie01uroven"/>
        <w:spacing w:before="40" w:line="210" w:lineRule="exact"/>
      </w:pPr>
      <w:r w:rsidRPr="00C52CA0">
        <w:t>1</w:t>
      </w:r>
      <w:r>
        <w:t>.7. Символы кор выветривания</w:t>
      </w:r>
    </w:p>
    <w:p w:rsidR="007367A4" w:rsidRPr="00C52CA0" w:rsidRDefault="007367A4" w:rsidP="007367A4">
      <w:pPr>
        <w:pStyle w:val="Oglavlenie01uroven"/>
        <w:spacing w:before="40" w:line="210" w:lineRule="exact"/>
      </w:pPr>
      <w:r w:rsidRPr="00C52CA0">
        <w:t>1</w:t>
      </w:r>
      <w:r>
        <w:t>.8. Символы фаций метаморфизма</w:t>
      </w:r>
    </w:p>
    <w:p w:rsidR="007367A4" w:rsidRPr="00C52CA0" w:rsidRDefault="007367A4" w:rsidP="007367A4">
      <w:pPr>
        <w:pStyle w:val="Oglavlenie01uroven"/>
        <w:spacing w:before="40" w:line="210" w:lineRule="exact"/>
      </w:pPr>
      <w:r w:rsidRPr="00C52CA0">
        <w:t>1.9. Символы основных групп осадочных и вулканогенных пород</w:t>
      </w:r>
    </w:p>
    <w:p w:rsidR="007367A4" w:rsidRPr="00C52CA0" w:rsidRDefault="007367A4" w:rsidP="007367A4">
      <w:pPr>
        <w:pStyle w:val="Oglavlenie01uroven"/>
        <w:spacing w:before="40" w:line="210" w:lineRule="exact"/>
      </w:pPr>
      <w:r w:rsidRPr="00C52CA0">
        <w:t>1.10. Буквенные обозначения минералов, минеральных агрегатов и полезных ископаемых</w:t>
      </w:r>
      <w:r>
        <w:t xml:space="preserve"> – горных пород и минералов</w:t>
      </w:r>
    </w:p>
    <w:p w:rsidR="007367A4" w:rsidRPr="00C52CA0" w:rsidRDefault="007367A4" w:rsidP="007367A4">
      <w:pPr>
        <w:pStyle w:val="Oglavlenie01uroven"/>
        <w:spacing w:before="40" w:line="210" w:lineRule="exact"/>
      </w:pPr>
      <w:r w:rsidRPr="00C52CA0">
        <w:t>1.11. Транслитерация рус</w:t>
      </w:r>
      <w:r>
        <w:t>ского алфавита на латинский</w:t>
      </w:r>
    </w:p>
    <w:p w:rsidR="007367A4" w:rsidRPr="00C52CA0" w:rsidRDefault="007367A4" w:rsidP="007367A4">
      <w:pPr>
        <w:pStyle w:val="Oglavlenie01uroven"/>
        <w:spacing w:before="40" w:line="210" w:lineRule="exact"/>
      </w:pPr>
      <w:r w:rsidRPr="00C52CA0">
        <w:t>1.12. Сокращения наиболее часто употребляемых латинских палеонтологических тер</w:t>
      </w:r>
      <w:r>
        <w:t>минов</w:t>
      </w:r>
    </w:p>
    <w:p w:rsidR="007367A4" w:rsidRPr="00C52CA0" w:rsidRDefault="007367A4" w:rsidP="007367A4">
      <w:pPr>
        <w:pStyle w:val="Oglavlenie01uroven"/>
        <w:spacing w:before="40" w:line="210" w:lineRule="exact"/>
      </w:pPr>
      <w:r w:rsidRPr="00C52CA0">
        <w:t>1.13. Перечень генетических подразделений, применяемых на КЧО (полные и краткие наимено</w:t>
      </w:r>
      <w:r>
        <w:t>вания и рекомендуемые символы)</w:t>
      </w:r>
    </w:p>
    <w:p w:rsidR="007367A4" w:rsidRPr="00C52CA0" w:rsidRDefault="007367A4" w:rsidP="007367A4">
      <w:pPr>
        <w:pStyle w:val="Oglavlenie01uroven"/>
        <w:spacing w:before="40" w:line="210" w:lineRule="exact"/>
      </w:pPr>
      <w:r w:rsidRPr="00C52CA0">
        <w:t xml:space="preserve">1.14. Дополнительные детализирующие </w:t>
      </w:r>
      <w:r>
        <w:t>генетические подразделения КЧО</w:t>
      </w:r>
    </w:p>
    <w:p w:rsidR="007367A4" w:rsidRPr="00C52CA0" w:rsidRDefault="007367A4" w:rsidP="007367A4">
      <w:pPr>
        <w:pStyle w:val="Oglavlenie01uroven"/>
        <w:spacing w:before="40" w:line="210" w:lineRule="exact"/>
      </w:pPr>
      <w:r w:rsidRPr="00C52CA0">
        <w:t>1</w:t>
      </w:r>
      <w:r>
        <w:t>.15. Парагенезы КЧО</w:t>
      </w:r>
    </w:p>
    <w:p w:rsidR="007367A4" w:rsidRPr="00C52CA0" w:rsidRDefault="007367A4" w:rsidP="007367A4">
      <w:pPr>
        <w:pStyle w:val="Oglavlenie01uroven"/>
        <w:spacing w:before="40" w:line="210" w:lineRule="exact"/>
      </w:pPr>
      <w:r w:rsidRPr="00C52CA0">
        <w:t>1.16. Многочленные параг</w:t>
      </w:r>
      <w:r>
        <w:t>енезы КЧО</w:t>
      </w:r>
    </w:p>
    <w:p w:rsidR="007367A4" w:rsidRDefault="007367A4" w:rsidP="007367A4">
      <w:pPr>
        <w:pStyle w:val="Oglavlenie01uroven"/>
        <w:spacing w:before="40" w:line="210" w:lineRule="exact"/>
      </w:pPr>
      <w:r w:rsidRPr="00C52CA0">
        <w:t>1.17. Категории месторождений по величине запасов полезных ископа</w:t>
      </w:r>
      <w:r>
        <w:t>емых</w:t>
      </w:r>
    </w:p>
    <w:p w:rsidR="00890365" w:rsidRPr="00A63922" w:rsidRDefault="00890365" w:rsidP="007367A4">
      <w:pPr>
        <w:pStyle w:val="Oglavlenie01uroven"/>
        <w:spacing w:before="40" w:line="210" w:lineRule="exact"/>
        <w:rPr>
          <w:color w:val="auto"/>
        </w:rPr>
      </w:pPr>
      <w:r w:rsidRPr="00A63922">
        <w:rPr>
          <w:color w:val="auto"/>
        </w:rPr>
        <w:t>1.18. Схема прогноза по геохимическим данным</w:t>
      </w:r>
    </w:p>
    <w:p w:rsidR="007367A4" w:rsidRPr="00C52CA0" w:rsidRDefault="007367A4" w:rsidP="007367A4">
      <w:pPr>
        <w:pStyle w:val="Oglavlenie01uroven"/>
        <w:spacing w:before="40" w:line="210" w:lineRule="exact"/>
      </w:pPr>
      <w:r w:rsidRPr="00890365">
        <w:rPr>
          <w:color w:val="auto"/>
        </w:rPr>
        <w:t xml:space="preserve">1.19. Обоснование постановки, состав и ожидаемые </w:t>
      </w:r>
      <w:r w:rsidRPr="00C52CA0">
        <w:t>результаты поисковых и оценочных ра</w:t>
      </w:r>
      <w:r>
        <w:t>бот</w:t>
      </w:r>
    </w:p>
    <w:p w:rsidR="007367A4" w:rsidRPr="00C52CA0" w:rsidRDefault="007367A4" w:rsidP="007367A4">
      <w:pPr>
        <w:pStyle w:val="Oglavlenie01uroven"/>
        <w:spacing w:before="40" w:line="210" w:lineRule="exact"/>
      </w:pPr>
      <w:r w:rsidRPr="00C52CA0">
        <w:t>1</w:t>
      </w:r>
      <w:r>
        <w:t>.20</w:t>
      </w:r>
      <w:r w:rsidRPr="00C52CA0">
        <w:t>А. Классификационный тетраэдр для гранулометрической характеристи</w:t>
      </w:r>
      <w:r>
        <w:t>ки осадков (ВНИИОкеангеология)</w:t>
      </w:r>
    </w:p>
    <w:p w:rsidR="007367A4" w:rsidRPr="00C52CA0" w:rsidRDefault="007367A4" w:rsidP="007367A4">
      <w:pPr>
        <w:pStyle w:val="Oglavlenie01uroven"/>
        <w:spacing w:before="40" w:line="210" w:lineRule="exact"/>
      </w:pPr>
      <w:r w:rsidRPr="00C52CA0">
        <w:t>1</w:t>
      </w:r>
      <w:r>
        <w:t>.20</w:t>
      </w:r>
      <w:r w:rsidRPr="00C52CA0">
        <w:t>Б. Классификационный тетраэдр для гранулометрической характеристики</w:t>
      </w:r>
      <w:r>
        <w:t xml:space="preserve"> осадков внутренних акваторий (ВНИИОкеангеология)</w:t>
      </w:r>
    </w:p>
    <w:p w:rsidR="007367A4" w:rsidRPr="00C52CA0" w:rsidRDefault="007367A4" w:rsidP="007367A4">
      <w:pPr>
        <w:pStyle w:val="Oglavlenie01uroven"/>
        <w:spacing w:before="40" w:line="210" w:lineRule="exact"/>
      </w:pPr>
      <w:r w:rsidRPr="00C52CA0">
        <w:t>1.21. Соотношение гранулометрических шкал и гранулометрическая кла</w:t>
      </w:r>
      <w:r>
        <w:t>ссификация (ВНИИОкеангеология)</w:t>
      </w:r>
    </w:p>
    <w:p w:rsidR="007367A4" w:rsidRPr="00F748AB" w:rsidRDefault="007367A4" w:rsidP="007367A4">
      <w:pPr>
        <w:pStyle w:val="Oglavlenie01uroven"/>
        <w:spacing w:before="40" w:line="210" w:lineRule="exact"/>
        <w:rPr>
          <w:color w:val="auto"/>
        </w:rPr>
      </w:pPr>
      <w:r w:rsidRPr="00C52CA0">
        <w:t>1.22.</w:t>
      </w:r>
      <w:r>
        <w:t> </w:t>
      </w:r>
      <w:r w:rsidRPr="00F748AB">
        <w:rPr>
          <w:color w:val="auto"/>
        </w:rPr>
        <w:t xml:space="preserve">Типовые условные обозначения для Гидрогеологической схемы масштаба </w:t>
      </w:r>
      <w:proofErr w:type="gramStart"/>
      <w:r w:rsidRPr="00F748AB">
        <w:rPr>
          <w:color w:val="auto"/>
        </w:rPr>
        <w:t>1 :</w:t>
      </w:r>
      <w:proofErr w:type="gramEnd"/>
      <w:r w:rsidRPr="00F748AB">
        <w:rPr>
          <w:color w:val="auto"/>
        </w:rPr>
        <w:t xml:space="preserve"> 500 000</w:t>
      </w:r>
    </w:p>
    <w:p w:rsidR="007367A4" w:rsidRPr="002D0D60" w:rsidRDefault="007367A4" w:rsidP="007367A4">
      <w:pPr>
        <w:pStyle w:val="Oglavlenie01uroven"/>
        <w:spacing w:before="40" w:line="210" w:lineRule="exact"/>
        <w:rPr>
          <w:color w:val="auto"/>
        </w:rPr>
      </w:pPr>
      <w:r w:rsidRPr="00F748AB">
        <w:rPr>
          <w:color w:val="auto"/>
        </w:rPr>
        <w:t xml:space="preserve">1.23. </w:t>
      </w:r>
      <w:r w:rsidRPr="002D0D60">
        <w:rPr>
          <w:color w:val="auto"/>
        </w:rPr>
        <w:t>Основные генетические типы прогнозируемых месторождений. Металлические и неметаллические полезные ископаемые</w:t>
      </w:r>
    </w:p>
    <w:p w:rsidR="007367A4" w:rsidRPr="002D0D60" w:rsidRDefault="007367A4" w:rsidP="007367A4">
      <w:pPr>
        <w:pStyle w:val="Oglavlenie01uroven"/>
        <w:spacing w:before="40" w:line="210" w:lineRule="exact"/>
        <w:rPr>
          <w:color w:val="auto"/>
        </w:rPr>
      </w:pPr>
      <w:r w:rsidRPr="002D0D60">
        <w:rPr>
          <w:color w:val="auto"/>
        </w:rPr>
        <w:t>1.24. Перечень рудных формаций основных типов полезных ископаемых</w:t>
      </w:r>
    </w:p>
    <w:p w:rsidR="007367A4" w:rsidRPr="003B0F82" w:rsidRDefault="007367A4" w:rsidP="007367A4">
      <w:pPr>
        <w:pStyle w:val="Oglavlenie01uroven"/>
        <w:spacing w:before="40" w:line="210" w:lineRule="exact"/>
        <w:rPr>
          <w:color w:val="auto"/>
        </w:rPr>
      </w:pPr>
      <w:r w:rsidRPr="003B0F82">
        <w:rPr>
          <w:color w:val="auto"/>
        </w:rPr>
        <w:t>1.2</w:t>
      </w:r>
      <w:r w:rsidR="003B0F82" w:rsidRPr="003B0F82">
        <w:rPr>
          <w:color w:val="auto"/>
        </w:rPr>
        <w:t>5</w:t>
      </w:r>
      <w:r w:rsidRPr="003B0F82">
        <w:rPr>
          <w:color w:val="auto"/>
        </w:rPr>
        <w:t>. Рекомендации по составлению дополнительных тектонических схем чехлов платформ ГК-200 и объяснительной записки к ним</w:t>
      </w:r>
    </w:p>
    <w:p w:rsidR="009876B3" w:rsidRDefault="009876B3"/>
    <w:sectPr w:rsidR="00987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101" w:rsidRDefault="00717101" w:rsidP="007367A4">
      <w:pPr>
        <w:spacing w:after="0" w:line="240" w:lineRule="auto"/>
      </w:pPr>
      <w:r>
        <w:separator/>
      </w:r>
    </w:p>
  </w:endnote>
  <w:endnote w:type="continuationSeparator" w:id="0">
    <w:p w:rsidR="00717101" w:rsidRDefault="00717101" w:rsidP="00736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tonC">
    <w:altName w:val="Times New Roman"/>
    <w:charset w:val="00"/>
    <w:family w:val="decorative"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101" w:rsidRDefault="00717101" w:rsidP="007367A4">
      <w:pPr>
        <w:spacing w:after="0" w:line="240" w:lineRule="auto"/>
      </w:pPr>
      <w:r>
        <w:separator/>
      </w:r>
    </w:p>
  </w:footnote>
  <w:footnote w:type="continuationSeparator" w:id="0">
    <w:p w:rsidR="00717101" w:rsidRDefault="00717101" w:rsidP="007367A4">
      <w:pPr>
        <w:spacing w:after="0" w:line="240" w:lineRule="auto"/>
      </w:pPr>
      <w:r>
        <w:continuationSeparator/>
      </w:r>
    </w:p>
  </w:footnote>
  <w:footnote w:id="1">
    <w:p w:rsidR="007367A4" w:rsidRDefault="007367A4" w:rsidP="007367A4">
      <w:pPr>
        <w:pStyle w:val="Snoska"/>
      </w:pPr>
      <w:r w:rsidRPr="00EF19E0">
        <w:rPr>
          <w:rStyle w:val="a3"/>
          <w:rFonts w:eastAsia="Calibri" w:cs="Times New Roman"/>
          <w:kern w:val="0"/>
          <w:lang w:eastAsia="en-US"/>
        </w:rPr>
        <w:t>*</w:t>
      </w:r>
      <w:r>
        <w:rPr>
          <w:rFonts w:eastAsia="Calibri" w:cs="Times New Roman"/>
          <w:kern w:val="0"/>
          <w:vertAlign w:val="superscript"/>
          <w:lang w:eastAsia="en-US"/>
        </w:rPr>
        <w:t> </w:t>
      </w:r>
      <w:r w:rsidRPr="00F811CE">
        <w:t>Приложения 1.1–1.</w:t>
      </w:r>
      <w:r>
        <w:t>2</w:t>
      </w:r>
      <w:r w:rsidR="00B02407">
        <w:t>5</w:t>
      </w:r>
      <w:bookmarkStart w:id="0" w:name="_GoBack"/>
      <w:bookmarkEnd w:id="0"/>
      <w:r w:rsidRPr="00F811CE">
        <w:t xml:space="preserve"> записаны на электронный диск.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7A4"/>
    <w:rsid w:val="002D0D60"/>
    <w:rsid w:val="003B0F82"/>
    <w:rsid w:val="00717101"/>
    <w:rsid w:val="007367A4"/>
    <w:rsid w:val="00890365"/>
    <w:rsid w:val="009741CA"/>
    <w:rsid w:val="009876B3"/>
    <w:rsid w:val="00A63922"/>
    <w:rsid w:val="00B02407"/>
    <w:rsid w:val="00D24CD3"/>
    <w:rsid w:val="00F7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69301"/>
  <w15:chartTrackingRefBased/>
  <w15:docId w15:val="{637C0FC7-1285-4F5F-80EF-AD613644C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drispodpis">
    <w:name w:val="Podris_podpis"/>
    <w:uiPriority w:val="99"/>
    <w:rsid w:val="007367A4"/>
    <w:pPr>
      <w:spacing w:after="0" w:line="240" w:lineRule="auto"/>
      <w:jc w:val="center"/>
    </w:pPr>
    <w:rPr>
      <w:rFonts w:ascii="Times New Roman" w:eastAsia="Times New Roman" w:hAnsi="Times New Roman" w:cs="NewtonC"/>
      <w:b/>
      <w:bCs/>
      <w:color w:val="000000"/>
      <w:sz w:val="18"/>
      <w:szCs w:val="18"/>
      <w:lang w:eastAsia="ru-RU"/>
    </w:rPr>
  </w:style>
  <w:style w:type="paragraph" w:customStyle="1" w:styleId="Snoska">
    <w:name w:val="Snoska"/>
    <w:uiPriority w:val="99"/>
    <w:rsid w:val="007367A4"/>
    <w:pPr>
      <w:spacing w:after="0" w:line="188" w:lineRule="exact"/>
      <w:ind w:firstLine="284"/>
      <w:jc w:val="both"/>
    </w:pPr>
    <w:rPr>
      <w:rFonts w:ascii="Times New Roman" w:eastAsia="Times New Roman" w:hAnsi="Times New Roman" w:cs="NewtonC"/>
      <w:color w:val="000000"/>
      <w:kern w:val="28"/>
      <w:sz w:val="18"/>
      <w:szCs w:val="18"/>
      <w:lang w:eastAsia="ru-RU"/>
    </w:rPr>
  </w:style>
  <w:style w:type="character" w:styleId="a3">
    <w:name w:val="footnote reference"/>
    <w:uiPriority w:val="99"/>
    <w:unhideWhenUsed/>
    <w:rsid w:val="007367A4"/>
    <w:rPr>
      <w:vertAlign w:val="superscript"/>
    </w:rPr>
  </w:style>
  <w:style w:type="paragraph" w:customStyle="1" w:styleId="Oglavlenie01uroven">
    <w:name w:val="Oglavlenie_01 uroven"/>
    <w:qFormat/>
    <w:rsid w:val="007367A4"/>
    <w:pPr>
      <w:tabs>
        <w:tab w:val="right" w:leader="dot" w:pos="5897"/>
        <w:tab w:val="right" w:pos="6350"/>
      </w:tabs>
      <w:spacing w:after="0" w:line="220" w:lineRule="exact"/>
      <w:ind w:left="284" w:right="510" w:hanging="284"/>
      <w:jc w:val="both"/>
    </w:pPr>
    <w:rPr>
      <w:rFonts w:ascii="Times New Roman" w:eastAsia="Calibri" w:hAnsi="Times New Roman" w:cs="Times New Roman"/>
      <w:color w:val="000000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ФГБУ ВСЕГЕИ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Шишкин Михаил Александрович</dc:creator>
  <cp:keywords/>
  <dc:description/>
  <cp:lastModifiedBy>Сумарева Ирина Викторовна</cp:lastModifiedBy>
  <cp:revision>6</cp:revision>
  <dcterms:created xsi:type="dcterms:W3CDTF">2022-06-02T14:11:00Z</dcterms:created>
  <dcterms:modified xsi:type="dcterms:W3CDTF">2023-09-25T07:33:00Z</dcterms:modified>
</cp:coreProperties>
</file>