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4B4" w:rsidRDefault="000004B4" w:rsidP="000004B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Корякский автономный округ</w:t>
      </w:r>
    </w:p>
    <w:p w:rsidR="000004B4" w:rsidRDefault="000004B4" w:rsidP="000004B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004B4" w:rsidRPr="000004B4" w:rsidRDefault="000004B4" w:rsidP="000004B4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1999-2012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004B4" w:rsidRPr="000004B4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</w:p>
        </w:tc>
      </w:tr>
      <w:tr w:rsidR="000004B4" w:rsidRPr="000004B4" w:rsidTr="00BF3A74">
        <w:trPr>
          <w:tblCellSpacing w:w="15" w:type="dxa"/>
        </w:trPr>
        <w:tc>
          <w:tcPr>
            <w:tcW w:w="5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-10042</w:t>
            </w:r>
          </w:p>
        </w:tc>
        <w:tc>
          <w:tcPr>
            <w:tcW w:w="0" w:type="auto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b/>
                <w:bCs/>
                <w:color w:val="auto"/>
              </w:rPr>
              <w:t>Зонова Т.Д.</w:t>
            </w:r>
            <w:r w:rsidRPr="000004B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004B4">
              <w:rPr>
                <w:rFonts w:eastAsia="Times New Roman"/>
                <w:color w:val="auto"/>
              </w:rPr>
              <w:t>Иноцерамиды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альб-сеномана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Пенжинской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депрессии и </w:t>
            </w:r>
            <w:proofErr w:type="spellStart"/>
            <w:r w:rsidRPr="000004B4">
              <w:rPr>
                <w:rFonts w:eastAsia="Times New Roman"/>
                <w:color w:val="auto"/>
              </w:rPr>
              <w:t>Пенжинского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кряжа (Северо-Восток России) / Т. Д. Зонова. - Санкт-</w:t>
            </w:r>
            <w:proofErr w:type="gramStart"/>
            <w:r w:rsidRPr="000004B4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Недра, 2004. - 141</w:t>
            </w:r>
            <w:proofErr w:type="gramStart"/>
            <w:r w:rsidRPr="000004B4">
              <w:rPr>
                <w:rFonts w:eastAsia="Times New Roman"/>
                <w:color w:val="auto"/>
              </w:rPr>
              <w:t>с.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ил., табл. - (Бюллетень Палеонтологического и литологического коллекционного фонда ВНИГРИ ; № 1). - </w:t>
            </w:r>
            <w:proofErr w:type="spellStart"/>
            <w:proofErr w:type="gramStart"/>
            <w:r w:rsidRPr="000004B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004B4">
              <w:rPr>
                <w:rFonts w:eastAsia="Times New Roman"/>
                <w:color w:val="auto"/>
              </w:rPr>
              <w:t>.: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с. 73-76. - ISBN 5-88953-086-0.</w:t>
            </w:r>
          </w:p>
        </w:tc>
      </w:tr>
      <w:tr w:rsidR="000004B4" w:rsidRPr="000004B4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</w:p>
        </w:tc>
      </w:tr>
      <w:tr w:rsidR="000004B4" w:rsidRPr="000004B4" w:rsidTr="00BF3A74">
        <w:trPr>
          <w:tblCellSpacing w:w="15" w:type="dxa"/>
        </w:trPr>
        <w:tc>
          <w:tcPr>
            <w:tcW w:w="5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-5663</w:t>
            </w:r>
          </w:p>
        </w:tc>
        <w:tc>
          <w:tcPr>
            <w:tcW w:w="0" w:type="auto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0004B4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0004B4">
              <w:rPr>
                <w:rFonts w:eastAsia="Times New Roman"/>
                <w:b/>
                <w:bCs/>
                <w:color w:val="auto"/>
              </w:rPr>
              <w:t>, М.В.</w:t>
            </w:r>
            <w:r w:rsidRPr="000004B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004B4">
              <w:rPr>
                <w:rFonts w:eastAsia="Times New Roman"/>
                <w:color w:val="auto"/>
              </w:rPr>
              <w:t>Тоналит-трондьемитовые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комплексы </w:t>
            </w:r>
            <w:proofErr w:type="spellStart"/>
            <w:r w:rsidRPr="000004B4">
              <w:rPr>
                <w:rFonts w:eastAsia="Times New Roman"/>
                <w:color w:val="auto"/>
              </w:rPr>
              <w:t>Корякско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-Камчатского региона: (геология, геодинамика) = </w:t>
            </w:r>
            <w:proofErr w:type="spellStart"/>
            <w:r w:rsidRPr="000004B4">
              <w:rPr>
                <w:rFonts w:eastAsia="Times New Roman"/>
                <w:color w:val="auto"/>
              </w:rPr>
              <w:t>Tonalite-trondjemite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complexes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of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Koryakya-Kamchatka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region</w:t>
            </w:r>
            <w:proofErr w:type="spellEnd"/>
            <w:r w:rsidRPr="000004B4">
              <w:rPr>
                <w:rFonts w:eastAsia="Times New Roman"/>
                <w:color w:val="auto"/>
              </w:rPr>
              <w:t>: (</w:t>
            </w:r>
            <w:proofErr w:type="spellStart"/>
            <w:r w:rsidRPr="000004B4">
              <w:rPr>
                <w:rFonts w:eastAsia="Times New Roman"/>
                <w:color w:val="auto"/>
              </w:rPr>
              <w:t>Geology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004B4">
              <w:rPr>
                <w:rFonts w:eastAsia="Times New Roman"/>
                <w:color w:val="auto"/>
              </w:rPr>
              <w:t>geodynamics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) / М. В. </w:t>
            </w:r>
            <w:proofErr w:type="spellStart"/>
            <w:proofErr w:type="gramStart"/>
            <w:r w:rsidRPr="000004B4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отв. ред.: </w:t>
            </w:r>
            <w:proofErr w:type="spellStart"/>
            <w:r w:rsidRPr="000004B4">
              <w:rPr>
                <w:rFonts w:eastAsia="Times New Roman"/>
                <w:color w:val="auto"/>
              </w:rPr>
              <w:t>С.Д.Соколов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004B4">
              <w:rPr>
                <w:rFonts w:eastAsia="Times New Roman"/>
                <w:color w:val="auto"/>
              </w:rPr>
              <w:t>Москва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ГЕОС, 2001. - 123</w:t>
            </w:r>
            <w:proofErr w:type="gramStart"/>
            <w:r w:rsidRPr="000004B4">
              <w:rPr>
                <w:rFonts w:eastAsia="Times New Roman"/>
                <w:color w:val="auto"/>
              </w:rPr>
              <w:t>с.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ил., табл. - (Труды Геологического института / Рос. акад. наук ; Вып.522). - </w:t>
            </w:r>
            <w:proofErr w:type="spellStart"/>
            <w:proofErr w:type="gramStart"/>
            <w:r w:rsidRPr="000004B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004B4">
              <w:rPr>
                <w:rFonts w:eastAsia="Times New Roman"/>
                <w:color w:val="auto"/>
              </w:rPr>
              <w:t>.: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с. 113-122. - ISBN 5-89118-195-</w:t>
            </w:r>
            <w:proofErr w:type="gramStart"/>
            <w:r w:rsidRPr="000004B4">
              <w:rPr>
                <w:rFonts w:eastAsia="Times New Roman"/>
                <w:color w:val="auto"/>
              </w:rPr>
              <w:t>9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60-00.</w:t>
            </w:r>
          </w:p>
        </w:tc>
      </w:tr>
      <w:tr w:rsidR="000004B4" w:rsidRPr="000004B4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</w:p>
        </w:tc>
      </w:tr>
      <w:tr w:rsidR="000004B4" w:rsidRPr="000004B4" w:rsidTr="00BF3A74">
        <w:trPr>
          <w:tblCellSpacing w:w="15" w:type="dxa"/>
        </w:trPr>
        <w:tc>
          <w:tcPr>
            <w:tcW w:w="5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В53859</w:t>
            </w:r>
          </w:p>
        </w:tc>
        <w:tc>
          <w:tcPr>
            <w:tcW w:w="0" w:type="auto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   </w:t>
            </w:r>
            <w:proofErr w:type="spellStart"/>
            <w:r w:rsidRPr="000004B4">
              <w:rPr>
                <w:rFonts w:eastAsia="Times New Roman"/>
                <w:b/>
                <w:bCs/>
                <w:color w:val="auto"/>
              </w:rPr>
              <w:t>Корякско</w:t>
            </w:r>
            <w:proofErr w:type="spellEnd"/>
            <w:r w:rsidRPr="000004B4">
              <w:rPr>
                <w:rFonts w:eastAsia="Times New Roman"/>
                <w:b/>
                <w:bCs/>
                <w:color w:val="auto"/>
              </w:rPr>
              <w:t xml:space="preserve">-Камчатский регион - новая </w:t>
            </w:r>
            <w:proofErr w:type="spellStart"/>
            <w:r w:rsidRPr="000004B4">
              <w:rPr>
                <w:rFonts w:eastAsia="Times New Roman"/>
                <w:b/>
                <w:bCs/>
                <w:color w:val="auto"/>
              </w:rPr>
              <w:t>платиноносная</w:t>
            </w:r>
            <w:proofErr w:type="spellEnd"/>
            <w:r w:rsidRPr="000004B4">
              <w:rPr>
                <w:rFonts w:eastAsia="Times New Roman"/>
                <w:b/>
                <w:bCs/>
                <w:color w:val="auto"/>
              </w:rPr>
              <w:t xml:space="preserve"> провинция России</w:t>
            </w:r>
            <w:r w:rsidRPr="000004B4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0004B4">
              <w:rPr>
                <w:rFonts w:eastAsia="Times New Roman"/>
                <w:color w:val="auto"/>
              </w:rPr>
              <w:t>Вильданова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0004B4">
              <w:rPr>
                <w:rFonts w:eastAsia="Times New Roman"/>
                <w:color w:val="auto"/>
              </w:rPr>
              <w:t>] ;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[науч. ред.: </w:t>
            </w:r>
            <w:proofErr w:type="spellStart"/>
            <w:r w:rsidRPr="000004B4">
              <w:rPr>
                <w:rFonts w:eastAsia="Times New Roman"/>
                <w:color w:val="auto"/>
              </w:rPr>
              <w:t>В.П.Зайцев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и др.] ; Закрытое акционер. о-во "</w:t>
            </w:r>
            <w:proofErr w:type="spellStart"/>
            <w:r w:rsidRPr="000004B4">
              <w:rPr>
                <w:rFonts w:eastAsia="Times New Roman"/>
                <w:color w:val="auto"/>
              </w:rPr>
              <w:t>Корякгеолдобыча</w:t>
            </w:r>
            <w:proofErr w:type="spellEnd"/>
            <w:r w:rsidRPr="000004B4">
              <w:rPr>
                <w:rFonts w:eastAsia="Times New Roman"/>
                <w:color w:val="auto"/>
              </w:rPr>
              <w:t>". - Санкт-</w:t>
            </w:r>
            <w:proofErr w:type="gramStart"/>
            <w:r w:rsidRPr="000004B4">
              <w:rPr>
                <w:rFonts w:eastAsia="Times New Roman"/>
                <w:color w:val="auto"/>
              </w:rPr>
              <w:t>Петербург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Изд-во С.-</w:t>
            </w:r>
            <w:proofErr w:type="spellStart"/>
            <w:r w:rsidRPr="000004B4">
              <w:rPr>
                <w:rFonts w:eastAsia="Times New Roman"/>
                <w:color w:val="auto"/>
              </w:rPr>
              <w:t>Петерб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004B4">
              <w:rPr>
                <w:rFonts w:eastAsia="Times New Roman"/>
                <w:color w:val="auto"/>
              </w:rPr>
              <w:t>картогр</w:t>
            </w:r>
            <w:proofErr w:type="spellEnd"/>
            <w:r w:rsidRPr="000004B4">
              <w:rPr>
                <w:rFonts w:eastAsia="Times New Roman"/>
                <w:color w:val="auto"/>
              </w:rPr>
              <w:t>. ф-</w:t>
            </w:r>
            <w:proofErr w:type="spellStart"/>
            <w:r w:rsidRPr="000004B4">
              <w:rPr>
                <w:rFonts w:eastAsia="Times New Roman"/>
                <w:color w:val="auto"/>
              </w:rPr>
              <w:t>ки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ВСЕГЕИ, 2002. - 383</w:t>
            </w:r>
            <w:proofErr w:type="gramStart"/>
            <w:r w:rsidRPr="000004B4">
              <w:rPr>
                <w:rFonts w:eastAsia="Times New Roman"/>
                <w:color w:val="auto"/>
              </w:rPr>
              <w:t>с.,[</w:t>
            </w:r>
            <w:proofErr w:type="gramEnd"/>
            <w:r w:rsidRPr="000004B4">
              <w:rPr>
                <w:rFonts w:eastAsia="Times New Roman"/>
                <w:color w:val="auto"/>
              </w:rPr>
              <w:t>3]л.ил.,</w:t>
            </w:r>
            <w:proofErr w:type="spellStart"/>
            <w:r w:rsidRPr="000004B4">
              <w:rPr>
                <w:rFonts w:eastAsia="Times New Roman"/>
                <w:color w:val="auto"/>
              </w:rPr>
              <w:t>табл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004B4">
              <w:rPr>
                <w:rFonts w:eastAsia="Times New Roman"/>
                <w:color w:val="auto"/>
              </w:rPr>
              <w:t>Авт.указ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0004B4">
              <w:rPr>
                <w:rFonts w:eastAsia="Times New Roman"/>
                <w:color w:val="auto"/>
              </w:rPr>
              <w:t>тит.л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004B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004B4">
              <w:rPr>
                <w:rFonts w:eastAsia="Times New Roman"/>
                <w:color w:val="auto"/>
              </w:rPr>
              <w:t>.: с. 326-334 (181 назв.). - 200-00.</w:t>
            </w:r>
          </w:p>
        </w:tc>
      </w:tr>
      <w:tr w:rsidR="000004B4" w:rsidRPr="000004B4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</w:p>
        </w:tc>
      </w:tr>
      <w:tr w:rsidR="000004B4" w:rsidRPr="000004B4" w:rsidTr="00BF3A74">
        <w:trPr>
          <w:tblCellSpacing w:w="15" w:type="dxa"/>
        </w:trPr>
        <w:tc>
          <w:tcPr>
            <w:tcW w:w="5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В54486</w:t>
            </w:r>
          </w:p>
        </w:tc>
        <w:tc>
          <w:tcPr>
            <w:tcW w:w="0" w:type="auto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b/>
                <w:bCs/>
                <w:color w:val="auto"/>
              </w:rPr>
              <w:t>Сидоров Е.Г.</w:t>
            </w:r>
            <w:r w:rsidRPr="000004B4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004B4">
              <w:rPr>
                <w:rFonts w:eastAsia="Times New Roman"/>
                <w:color w:val="auto"/>
              </w:rPr>
              <w:t>Гальмоэнанский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базит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-гипербазитовый массив и его </w:t>
            </w:r>
            <w:proofErr w:type="spellStart"/>
            <w:r w:rsidRPr="000004B4">
              <w:rPr>
                <w:rFonts w:eastAsia="Times New Roman"/>
                <w:color w:val="auto"/>
              </w:rPr>
              <w:t>платиноносность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/ Е. Г. Сидоров, А. П. Козлов, Н. Д. </w:t>
            </w:r>
            <w:proofErr w:type="gramStart"/>
            <w:r w:rsidRPr="000004B4">
              <w:rPr>
                <w:rFonts w:eastAsia="Times New Roman"/>
                <w:color w:val="auto"/>
              </w:rPr>
              <w:t>Толстых ;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Ин-т вулканологии и сейсмологии ДВО РАН, Ин-т проблем комплекс. освоения недр РАН, Ин-т геологии и минералогии СО РАН. - </w:t>
            </w:r>
            <w:proofErr w:type="gramStart"/>
            <w:r w:rsidRPr="000004B4">
              <w:rPr>
                <w:rFonts w:eastAsia="Times New Roman"/>
                <w:color w:val="auto"/>
              </w:rPr>
              <w:t>Москва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Науч. мир, 2012. - 286 с., [8] л. </w:t>
            </w:r>
            <w:proofErr w:type="gramStart"/>
            <w:r w:rsidRPr="000004B4">
              <w:rPr>
                <w:rFonts w:eastAsia="Times New Roman"/>
                <w:color w:val="auto"/>
              </w:rPr>
              <w:t>ил.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004B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004B4">
              <w:rPr>
                <w:rFonts w:eastAsia="Times New Roman"/>
                <w:color w:val="auto"/>
              </w:rPr>
              <w:t>.: с. 184-203. - ISBN 978-5-91522-334-</w:t>
            </w:r>
            <w:proofErr w:type="gramStart"/>
            <w:r w:rsidRPr="000004B4">
              <w:rPr>
                <w:rFonts w:eastAsia="Times New Roman"/>
                <w:color w:val="auto"/>
              </w:rPr>
              <w:t>8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347-00.</w:t>
            </w:r>
            <w:r w:rsidRPr="000004B4">
              <w:rPr>
                <w:rFonts w:eastAsia="Times New Roman"/>
                <w:color w:val="auto"/>
              </w:rPr>
              <w:br/>
              <w:t xml:space="preserve">Приведены новые данные о тектоническом положении, геологическом строении и вещественном составе пород и руд </w:t>
            </w:r>
            <w:proofErr w:type="spellStart"/>
            <w:r w:rsidRPr="000004B4">
              <w:rPr>
                <w:rFonts w:eastAsia="Times New Roman"/>
                <w:color w:val="auto"/>
              </w:rPr>
              <w:t>Гальмоэнанского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базит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-гипербазитового массива. Детально рассмотрены условия локализации, морфологические типы, структурно-текстурные особенности рудной платиносодержащей минерализации. Особое внимание уделено рассмотрению состава минералов элементов платиновой группы и ассоциирующих с ними минералов. Изучены петрологические аспекты формирования </w:t>
            </w:r>
            <w:proofErr w:type="spellStart"/>
            <w:r w:rsidRPr="000004B4">
              <w:rPr>
                <w:rFonts w:eastAsia="Times New Roman"/>
                <w:color w:val="auto"/>
              </w:rPr>
              <w:t>платинометалльного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и рассмотрены вопросы его генетической связи с </w:t>
            </w:r>
            <w:proofErr w:type="spellStart"/>
            <w:r w:rsidRPr="000004B4">
              <w:rPr>
                <w:rFonts w:eastAsia="Times New Roman"/>
                <w:color w:val="auto"/>
              </w:rPr>
              <w:t>хромитовой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минерализацией. Проведена комплексная минералого-технологическая оценка </w:t>
            </w:r>
            <w:proofErr w:type="spellStart"/>
            <w:r w:rsidRPr="000004B4">
              <w:rPr>
                <w:rFonts w:eastAsia="Times New Roman"/>
                <w:color w:val="auto"/>
              </w:rPr>
              <w:t>платинометалльных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руд и рассмотрена технологическая возможность их промышленного освоения и переработки.</w:t>
            </w:r>
          </w:p>
        </w:tc>
      </w:tr>
      <w:tr w:rsidR="000004B4" w:rsidRPr="000004B4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</w:p>
        </w:tc>
      </w:tr>
      <w:tr w:rsidR="000004B4" w:rsidRPr="000004B4" w:rsidTr="00BF3A74">
        <w:trPr>
          <w:tblCellSpacing w:w="15" w:type="dxa"/>
        </w:trPr>
        <w:tc>
          <w:tcPr>
            <w:tcW w:w="5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lastRenderedPageBreak/>
              <w:t>5</w:t>
            </w:r>
          </w:p>
        </w:tc>
        <w:tc>
          <w:tcPr>
            <w:tcW w:w="10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Г17538</w:t>
            </w:r>
          </w:p>
        </w:tc>
        <w:tc>
          <w:tcPr>
            <w:tcW w:w="0" w:type="auto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   </w:t>
            </w:r>
            <w:r w:rsidRPr="000004B4">
              <w:rPr>
                <w:rFonts w:eastAsia="Times New Roman"/>
                <w:b/>
                <w:bCs/>
                <w:color w:val="auto"/>
              </w:rPr>
              <w:t xml:space="preserve">Геология и полезные ископаемые Камчатской области и Корякского автономного </w:t>
            </w:r>
            <w:proofErr w:type="gramStart"/>
            <w:r w:rsidRPr="000004B4">
              <w:rPr>
                <w:rFonts w:eastAsia="Times New Roman"/>
                <w:b/>
                <w:bCs/>
                <w:color w:val="auto"/>
              </w:rPr>
              <w:t>округа</w:t>
            </w:r>
            <w:r w:rsidRPr="000004B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(тез. </w:t>
            </w:r>
            <w:proofErr w:type="spellStart"/>
            <w:r w:rsidRPr="000004B4">
              <w:rPr>
                <w:rFonts w:eastAsia="Times New Roman"/>
                <w:color w:val="auto"/>
              </w:rPr>
              <w:t>докл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регион. </w:t>
            </w:r>
            <w:proofErr w:type="spellStart"/>
            <w:r w:rsidRPr="000004B4">
              <w:rPr>
                <w:rFonts w:eastAsia="Times New Roman"/>
                <w:color w:val="auto"/>
              </w:rPr>
              <w:t>конф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., посвящ.50-летию геол. службы Камчатки, 31 марта-1 апр. 1999 г.) / [ред.: </w:t>
            </w:r>
            <w:proofErr w:type="spellStart"/>
            <w:r w:rsidRPr="000004B4">
              <w:rPr>
                <w:rFonts w:eastAsia="Times New Roman"/>
                <w:color w:val="auto"/>
              </w:rPr>
              <w:t>А.Ф.Литвинов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004B4">
              <w:rPr>
                <w:rFonts w:eastAsia="Times New Roman"/>
                <w:color w:val="auto"/>
              </w:rPr>
              <w:t>А.И.Поздеев</w:t>
            </w:r>
            <w:proofErr w:type="spellEnd"/>
            <w:r w:rsidRPr="000004B4">
              <w:rPr>
                <w:rFonts w:eastAsia="Times New Roman"/>
                <w:color w:val="auto"/>
              </w:rPr>
              <w:t>]. - Петропавловск-</w:t>
            </w:r>
            <w:proofErr w:type="gramStart"/>
            <w:r w:rsidRPr="000004B4">
              <w:rPr>
                <w:rFonts w:eastAsia="Times New Roman"/>
                <w:color w:val="auto"/>
              </w:rPr>
              <w:t>Камчатский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Изд-во КАМШАТ, 1999. - 153 с. - В </w:t>
            </w:r>
            <w:proofErr w:type="spellStart"/>
            <w:proofErr w:type="gramStart"/>
            <w:r w:rsidRPr="000004B4">
              <w:rPr>
                <w:rFonts w:eastAsia="Times New Roman"/>
                <w:color w:val="auto"/>
              </w:rPr>
              <w:t>надзаг</w:t>
            </w:r>
            <w:proofErr w:type="spellEnd"/>
            <w:r w:rsidRPr="000004B4">
              <w:rPr>
                <w:rFonts w:eastAsia="Times New Roman"/>
                <w:color w:val="auto"/>
              </w:rPr>
              <w:t>.: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Ком. природ. ресурсов по </w:t>
            </w:r>
            <w:proofErr w:type="spellStart"/>
            <w:r w:rsidRPr="000004B4">
              <w:rPr>
                <w:rFonts w:eastAsia="Times New Roman"/>
                <w:color w:val="auto"/>
              </w:rPr>
              <w:t>Камчат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обл. и Коряк. авт. </w:t>
            </w:r>
            <w:proofErr w:type="spellStart"/>
            <w:r w:rsidRPr="000004B4">
              <w:rPr>
                <w:rFonts w:eastAsia="Times New Roman"/>
                <w:color w:val="auto"/>
              </w:rPr>
              <w:t>окр</w:t>
            </w:r>
            <w:proofErr w:type="spellEnd"/>
            <w:r w:rsidRPr="000004B4">
              <w:rPr>
                <w:rFonts w:eastAsia="Times New Roman"/>
                <w:color w:val="auto"/>
              </w:rPr>
              <w:t>. - ISBN 5-8440-0019-</w:t>
            </w:r>
            <w:proofErr w:type="gramStart"/>
            <w:r w:rsidRPr="000004B4">
              <w:rPr>
                <w:rFonts w:eastAsia="Times New Roman"/>
                <w:color w:val="auto"/>
              </w:rPr>
              <w:t>6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35-00.</w:t>
            </w:r>
          </w:p>
        </w:tc>
      </w:tr>
      <w:tr w:rsidR="000004B4" w:rsidRPr="000004B4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</w:p>
        </w:tc>
      </w:tr>
      <w:tr w:rsidR="000004B4" w:rsidRPr="000004B4" w:rsidTr="00BF3A74">
        <w:trPr>
          <w:tblCellSpacing w:w="15" w:type="dxa"/>
        </w:trPr>
        <w:tc>
          <w:tcPr>
            <w:tcW w:w="5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color w:val="auto"/>
              </w:rPr>
              <w:t>Г17984</w:t>
            </w:r>
          </w:p>
        </w:tc>
        <w:tc>
          <w:tcPr>
            <w:tcW w:w="0" w:type="auto"/>
            <w:hideMark/>
          </w:tcPr>
          <w:p w:rsidR="000004B4" w:rsidRPr="000004B4" w:rsidRDefault="000004B4" w:rsidP="00BF3A74">
            <w:pPr>
              <w:rPr>
                <w:rFonts w:eastAsia="Times New Roman"/>
                <w:color w:val="auto"/>
              </w:rPr>
            </w:pPr>
            <w:r w:rsidRPr="000004B4">
              <w:rPr>
                <w:rFonts w:eastAsia="Times New Roman"/>
                <w:b/>
                <w:bCs/>
                <w:color w:val="auto"/>
              </w:rPr>
              <w:t>Коваленко, Д.В.</w:t>
            </w:r>
            <w:r w:rsidRPr="000004B4">
              <w:rPr>
                <w:rFonts w:eastAsia="Times New Roman"/>
                <w:color w:val="auto"/>
              </w:rPr>
              <w:br/>
              <w:t xml:space="preserve">   Палеомагнетизм геологических комплексов Камчатки и Южной </w:t>
            </w:r>
            <w:proofErr w:type="spellStart"/>
            <w:proofErr w:type="gramStart"/>
            <w:r w:rsidRPr="000004B4">
              <w:rPr>
                <w:rFonts w:eastAsia="Times New Roman"/>
                <w:color w:val="auto"/>
              </w:rPr>
              <w:t>Корякии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тектон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и </w:t>
            </w:r>
            <w:proofErr w:type="spellStart"/>
            <w:r w:rsidRPr="000004B4">
              <w:rPr>
                <w:rFonts w:eastAsia="Times New Roman"/>
                <w:color w:val="auto"/>
              </w:rPr>
              <w:t>геофиз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интерпретация = </w:t>
            </w:r>
            <w:proofErr w:type="spellStart"/>
            <w:r w:rsidRPr="000004B4">
              <w:rPr>
                <w:rFonts w:eastAsia="Times New Roman"/>
                <w:color w:val="auto"/>
              </w:rPr>
              <w:t>Paleomagnetism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of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the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geological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complexes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in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Kamchatka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and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Southern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Koryak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highland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0004B4">
              <w:rPr>
                <w:rFonts w:eastAsia="Times New Roman"/>
                <w:color w:val="auto"/>
              </w:rPr>
              <w:t>tectonic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and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geophysical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004B4">
              <w:rPr>
                <w:rFonts w:eastAsia="Times New Roman"/>
                <w:color w:val="auto"/>
              </w:rPr>
              <w:t>interpretations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/ Д. В. Коваленко ; [РАН, Ин-т литосферы окраин. и </w:t>
            </w:r>
            <w:proofErr w:type="spellStart"/>
            <w:r w:rsidRPr="000004B4">
              <w:rPr>
                <w:rFonts w:eastAsia="Times New Roman"/>
                <w:color w:val="auto"/>
              </w:rPr>
              <w:t>внутрен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морей]. - </w:t>
            </w:r>
            <w:proofErr w:type="gramStart"/>
            <w:r w:rsidRPr="000004B4">
              <w:rPr>
                <w:rFonts w:eastAsia="Times New Roman"/>
                <w:color w:val="auto"/>
              </w:rPr>
              <w:t>Москва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Науч. мир, 2003. - 255</w:t>
            </w:r>
            <w:proofErr w:type="gramStart"/>
            <w:r w:rsidRPr="000004B4">
              <w:rPr>
                <w:rFonts w:eastAsia="Times New Roman"/>
                <w:color w:val="auto"/>
              </w:rPr>
              <w:t>с.,[</w:t>
            </w:r>
            <w:proofErr w:type="gramEnd"/>
            <w:r w:rsidRPr="000004B4">
              <w:rPr>
                <w:rFonts w:eastAsia="Times New Roman"/>
                <w:color w:val="auto"/>
              </w:rPr>
              <w:t>7]</w:t>
            </w:r>
            <w:proofErr w:type="spellStart"/>
            <w:r w:rsidRPr="000004B4">
              <w:rPr>
                <w:rFonts w:eastAsia="Times New Roman"/>
                <w:color w:val="auto"/>
              </w:rPr>
              <w:t>л.ил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: ил., табл. - Рез. англ. - </w:t>
            </w:r>
            <w:proofErr w:type="spellStart"/>
            <w:r w:rsidRPr="000004B4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004B4">
              <w:rPr>
                <w:rFonts w:eastAsia="Times New Roman"/>
                <w:color w:val="auto"/>
              </w:rPr>
              <w:t>.: с. 240-255. - ISBN 5-89176-202-</w:t>
            </w:r>
            <w:proofErr w:type="gramStart"/>
            <w:r w:rsidRPr="000004B4">
              <w:rPr>
                <w:rFonts w:eastAsia="Times New Roman"/>
                <w:color w:val="auto"/>
              </w:rPr>
              <w:t>1 :</w:t>
            </w:r>
            <w:proofErr w:type="gramEnd"/>
            <w:r w:rsidRPr="000004B4">
              <w:rPr>
                <w:rFonts w:eastAsia="Times New Roman"/>
                <w:color w:val="auto"/>
              </w:rPr>
              <w:t xml:space="preserve"> 550-00.</w:t>
            </w:r>
            <w:r w:rsidRPr="000004B4">
              <w:rPr>
                <w:rFonts w:eastAsia="Times New Roman"/>
                <w:color w:val="auto"/>
              </w:rPr>
              <w:br/>
              <w:t xml:space="preserve">Проводится детальный анализ палеомагнитных и геологических данных по Камчатке и югу </w:t>
            </w:r>
            <w:proofErr w:type="spellStart"/>
            <w:r w:rsidRPr="000004B4">
              <w:rPr>
                <w:rFonts w:eastAsia="Times New Roman"/>
                <w:color w:val="auto"/>
              </w:rPr>
              <w:t>Корякии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. Полученные в результате применения палеомагнитного метода количественные оценки широт формирования исследованных геологических толщ подтвердили гипотезу о том, что структура активной континентальной окраины Камчатки и юга </w:t>
            </w:r>
            <w:proofErr w:type="spellStart"/>
            <w:r w:rsidRPr="000004B4">
              <w:rPr>
                <w:rFonts w:eastAsia="Times New Roman"/>
                <w:color w:val="auto"/>
              </w:rPr>
              <w:t>Корякии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образовалась при последовательном </w:t>
            </w:r>
            <w:proofErr w:type="spellStart"/>
            <w:r w:rsidRPr="000004B4">
              <w:rPr>
                <w:rFonts w:eastAsia="Times New Roman"/>
                <w:color w:val="auto"/>
              </w:rPr>
              <w:t>причленении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экзотических комплексов пород, которые накапливались значительно южнее их современного положения. Была реконструирована позднемеловая система островных дуг на северо-западе Тихого океана, которая протягивалась от тридцатых градусов северной широты до пятидесятых и отсекала от материка небольшие по ширине бассейны. Большое внимание уделено проблеме формирования вторичной намагниченности пород. Показано, что, скорее всего, перемагничивание пород происходит на завершающих фазах развития </w:t>
            </w:r>
            <w:proofErr w:type="spellStart"/>
            <w:r w:rsidRPr="000004B4">
              <w:rPr>
                <w:rFonts w:eastAsia="Times New Roman"/>
                <w:color w:val="auto"/>
              </w:rPr>
              <w:t>орогенных</w:t>
            </w:r>
            <w:proofErr w:type="spellEnd"/>
            <w:r w:rsidRPr="000004B4">
              <w:rPr>
                <w:rFonts w:eastAsia="Times New Roman"/>
                <w:color w:val="auto"/>
              </w:rPr>
              <w:t xml:space="preserve"> поясов, после главных этапов деформаций.</w:t>
            </w:r>
          </w:p>
        </w:tc>
      </w:tr>
    </w:tbl>
    <w:p w:rsidR="000004B4" w:rsidRPr="000004B4" w:rsidRDefault="000004B4" w:rsidP="000004B4">
      <w:pPr>
        <w:rPr>
          <w:rFonts w:eastAsia="Times New Roman"/>
          <w:color w:val="auto"/>
        </w:rPr>
      </w:pPr>
    </w:p>
    <w:p w:rsidR="00940A6D" w:rsidRPr="000004B4" w:rsidRDefault="00940A6D">
      <w:pPr>
        <w:rPr>
          <w:color w:val="auto"/>
        </w:rPr>
      </w:pPr>
    </w:p>
    <w:sectPr w:rsidR="00940A6D" w:rsidRPr="00000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B4"/>
    <w:rsid w:val="000004B4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CB0CD-5A1A-42E4-A39D-AFE79F39F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4B4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004B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04B4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2020-05-13T08:06:00Z</dcterms:created>
  <dcterms:modified xsi:type="dcterms:W3CDTF">2020-05-13T08:07:00Z</dcterms:modified>
</cp:coreProperties>
</file>